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80D8" w14:textId="77777777" w:rsidR="002958E8" w:rsidRPr="00CD05BD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356E8145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20-0</w:t>
      </w:r>
      <w:r w:rsidR="005A6810">
        <w:rPr>
          <w:b/>
          <w:sz w:val="22"/>
          <w:szCs w:val="22"/>
        </w:rPr>
        <w:t>9</w:t>
      </w:r>
      <w:r w:rsidR="00D7290D">
        <w:rPr>
          <w:b/>
          <w:sz w:val="22"/>
          <w:szCs w:val="22"/>
        </w:rPr>
        <w:t>-</w:t>
      </w:r>
      <w:r w:rsidR="005A6810">
        <w:rPr>
          <w:b/>
          <w:sz w:val="22"/>
          <w:szCs w:val="22"/>
        </w:rPr>
        <w:t>14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Eil. nr.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32B8DF28" w14:textId="77777777" w:rsidR="001C5CD5" w:rsidRPr="00C773B2" w:rsidRDefault="001C5CD5" w:rsidP="001C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gruodžio mėn.</w:t>
            </w:r>
          </w:p>
          <w:p w14:paraId="713BF2B8" w14:textId="059ACEC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424A5B4A" w:rsidR="000B60DF" w:rsidRPr="00C773B2" w:rsidRDefault="005B4FF0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="00D25133">
              <w:rPr>
                <w:sz w:val="20"/>
                <w:szCs w:val="20"/>
              </w:rPr>
              <w:t>74</w:t>
            </w:r>
            <w:r w:rsidR="00337CD8">
              <w:rPr>
                <w:sz w:val="20"/>
                <w:szCs w:val="20"/>
              </w:rPr>
              <w:t xml:space="preserve"> </w:t>
            </w:r>
            <w:r w:rsidR="00D25133">
              <w:rPr>
                <w:sz w:val="20"/>
                <w:szCs w:val="20"/>
              </w:rPr>
              <w:t>322,57</w:t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62C9D653" w:rsidR="001C5CD5" w:rsidRPr="00A73BFC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rupė: UAB „LitCon“, UAB „ATEA“, Geobuilders LLC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88BB437" w14:textId="6AD6670A" w:rsidR="004925EA" w:rsidRPr="001C5CD5" w:rsidRDefault="00D15CF8" w:rsidP="00337CD8">
            <w:pPr>
              <w:jc w:val="both"/>
              <w:rPr>
                <w:sz w:val="20"/>
                <w:szCs w:val="20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apie 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99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Olimpiečių g. </w:t>
            </w:r>
            <w:r w:rsidR="00E225F5">
              <w:rPr>
                <w:color w:val="000000"/>
                <w:sz w:val="20"/>
                <w:szCs w:val="20"/>
                <w:shd w:val="clear" w:color="auto" w:fill="FFFFFF"/>
              </w:rPr>
              <w:t>hidroizoliuojama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konsol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ė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>. Išbetonuotas rostverkas lauko kavinei</w:t>
            </w:r>
            <w:r w:rsidR="00E225F5">
              <w:rPr>
                <w:color w:val="000000"/>
                <w:sz w:val="20"/>
                <w:szCs w:val="20"/>
                <w:shd w:val="clear" w:color="auto" w:fill="FFFFFF"/>
              </w:rPr>
              <w:t>, laiptai, pandusas</w:t>
            </w:r>
            <w:r w:rsidR="00A04BD8">
              <w:rPr>
                <w:color w:val="000000"/>
                <w:sz w:val="20"/>
                <w:szCs w:val="20"/>
                <w:shd w:val="clear" w:color="auto" w:fill="FFFFFF"/>
              </w:rPr>
              <w:t>. Pakloti vandentiekio tinklai.</w:t>
            </w:r>
            <w:r w:rsidR="00CD1C8C">
              <w:rPr>
                <w:color w:val="000000"/>
                <w:sz w:val="20"/>
                <w:szCs w:val="20"/>
                <w:shd w:val="clear" w:color="auto" w:fill="FFFFFF"/>
              </w:rPr>
              <w:t xml:space="preserve"> Tuskulėnų parke baigiami įrengti pėsčiųjų takai, vaikų žaidimo aikštelės. Bendras objekto įvykdymas apie 70 proc.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E225F5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34839DEA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399CEB44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53A70A93" w14:textId="44804BFA" w:rsidR="000B60DF" w:rsidRPr="00530F25" w:rsidRDefault="00E224F2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>Objektas priduotas.</w:t>
            </w:r>
            <w:r w:rsidR="00CD05BD">
              <w:rPr>
                <w:sz w:val="20"/>
                <w:szCs w:val="20"/>
              </w:rPr>
              <w:t xml:space="preserve"> </w:t>
            </w: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2286094D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53FA712F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4E9481D" w:rsidR="00CD05BD" w:rsidRPr="00530F25" w:rsidRDefault="007B0141" w:rsidP="00337C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2020 m. sausio mėn. </w:t>
            </w:r>
            <w:r w:rsidR="00A510B1">
              <w:rPr>
                <w:sz w:val="20"/>
                <w:szCs w:val="20"/>
              </w:rPr>
              <w:t xml:space="preserve">Objektas </w:t>
            </w:r>
            <w:r w:rsidR="00093CCC">
              <w:rPr>
                <w:sz w:val="20"/>
                <w:szCs w:val="20"/>
              </w:rPr>
              <w:t>priduotas</w:t>
            </w:r>
            <w:r w:rsidR="00CD05BD">
              <w:rPr>
                <w:sz w:val="20"/>
                <w:szCs w:val="20"/>
              </w:rPr>
              <w:t>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lastRenderedPageBreak/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55B4A276" w:rsidR="000B60DF" w:rsidRPr="00EE58E3" w:rsidRDefault="000B60DF" w:rsidP="000B60DF">
            <w:pPr>
              <w:jc w:val="center"/>
              <w:rPr>
                <w:sz w:val="20"/>
                <w:szCs w:val="20"/>
                <w:lang w:val="en-US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  <w:r w:rsidR="00EE58E3">
              <w:rPr>
                <w:sz w:val="20"/>
                <w:szCs w:val="20"/>
                <w:lang w:val="en-US"/>
              </w:rPr>
              <w:t>09</w:t>
            </w:r>
            <w:bookmarkStart w:id="3" w:name="_GoBack"/>
            <w:bookmarkEnd w:id="3"/>
          </w:p>
          <w:p w14:paraId="0D0926C7" w14:textId="7886B671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337CD8">
              <w:rPr>
                <w:sz w:val="20"/>
                <w:szCs w:val="20"/>
                <w:lang w:val="en-US"/>
              </w:rPr>
              <w:t>16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770B9339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4C80" w14:textId="77777777" w:rsidR="006B3E43" w:rsidRDefault="00E225F5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Siekiant įsitikinti, kad TP sprendiniai yra teisingi ir atitinka visas šios dienos aktualijas buvo nuspręsta atlikti TP ekspertizę. Ekspertizės išvadoje pateiktos </w:t>
            </w:r>
            <w:r>
              <w:rPr>
                <w:sz w:val="20"/>
                <w:szCs w:val="20"/>
              </w:rPr>
              <w:lastRenderedPageBreak/>
              <w:t xml:space="preserve">rekomendacijos taisyti TP.  </w:t>
            </w:r>
            <w:r w:rsidR="00502F34">
              <w:rPr>
                <w:sz w:val="20"/>
                <w:szCs w:val="20"/>
              </w:rPr>
              <w:t xml:space="preserve">VMS nusprendė nutraukti rangos darbų pirkimą ir atlikti rekomenduojamus TP pakeitimus. </w:t>
            </w:r>
            <w:r w:rsidR="005D582A">
              <w:rPr>
                <w:sz w:val="20"/>
                <w:szCs w:val="20"/>
              </w:rPr>
              <w:t>Kairės pusė TP nuspręsta išskaidyti į 2 etapus</w:t>
            </w:r>
            <w:r w:rsidR="00087400">
              <w:rPr>
                <w:sz w:val="20"/>
                <w:szCs w:val="20"/>
              </w:rPr>
              <w:t>. I etapo darbai bus perkami artimiausiu metu, o II etap</w:t>
            </w:r>
            <w:r w:rsidR="00094089">
              <w:rPr>
                <w:sz w:val="20"/>
                <w:szCs w:val="20"/>
              </w:rPr>
              <w:t>o sprendiniai bus keičiami iš esmės ir bus vykdom</w:t>
            </w:r>
            <w:r w:rsidR="000236A9">
              <w:rPr>
                <w:sz w:val="20"/>
                <w:szCs w:val="20"/>
              </w:rPr>
              <w:t>as</w:t>
            </w:r>
            <w:r w:rsidR="00094089">
              <w:rPr>
                <w:sz w:val="20"/>
                <w:szCs w:val="20"/>
              </w:rPr>
              <w:t xml:space="preserve"> projektavim</w:t>
            </w:r>
            <w:r w:rsidR="000236A9">
              <w:rPr>
                <w:sz w:val="20"/>
                <w:szCs w:val="20"/>
              </w:rPr>
              <w:t>as.</w:t>
            </w:r>
            <w:r w:rsidR="00094089">
              <w:rPr>
                <w:sz w:val="20"/>
                <w:szCs w:val="20"/>
              </w:rPr>
              <w:t xml:space="preserve"> </w:t>
            </w:r>
          </w:p>
          <w:p w14:paraId="353D79C4" w14:textId="2A635246" w:rsidR="00337CD8" w:rsidRPr="00530F25" w:rsidRDefault="00337CD8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Artimiausiu metu bus paskelbtas rangos darbų konkursas.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E225F5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4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4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49D4FDFA" w:rsidR="000B60DF" w:rsidRPr="00C773B2" w:rsidRDefault="00155143" w:rsidP="0036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536,72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68867AEF" w14:textId="773AFF7C" w:rsidR="000A6D15" w:rsidRPr="00530F25" w:rsidRDefault="005C7682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BA5075">
              <w:rPr>
                <w:sz w:val="20"/>
                <w:szCs w:val="20"/>
              </w:rPr>
              <w:t>viestuvai atkarpoje nuo Pedagoginio žiedo iki Žalio tilto</w:t>
            </w:r>
            <w:r>
              <w:rPr>
                <w:sz w:val="20"/>
                <w:szCs w:val="20"/>
              </w:rPr>
              <w:t xml:space="preserve"> sumontuoti, veikia</w:t>
            </w:r>
            <w:r w:rsidR="00BA507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Sud</w:t>
            </w:r>
            <w:r w:rsidR="00BA5075">
              <w:rPr>
                <w:sz w:val="20"/>
                <w:szCs w:val="20"/>
              </w:rPr>
              <w:t>erin</w:t>
            </w:r>
            <w:r>
              <w:rPr>
                <w:sz w:val="20"/>
                <w:szCs w:val="20"/>
              </w:rPr>
              <w:t>ti</w:t>
            </w:r>
            <w:r w:rsidR="00BA5075">
              <w:rPr>
                <w:sz w:val="20"/>
                <w:szCs w:val="20"/>
              </w:rPr>
              <w:t xml:space="preserve"> šviestuvai atkarpai nuo Žaliojo iki Tuskulėnų parko</w:t>
            </w:r>
            <w:r>
              <w:rPr>
                <w:sz w:val="20"/>
                <w:szCs w:val="20"/>
              </w:rPr>
              <w:t xml:space="preserve"> ir rugsėjo pabaigoje </w:t>
            </w:r>
            <w:r w:rsidR="00843BED">
              <w:rPr>
                <w:sz w:val="20"/>
                <w:szCs w:val="20"/>
              </w:rPr>
              <w:t>bus sumontuoti.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5C768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  <w:lang w:val="lt-LT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0B203ADD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  <w:r w:rsidR="00337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337C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0ED5F" w14:textId="77777777" w:rsidR="007245A0" w:rsidRDefault="007245A0" w:rsidP="009B41D2">
      <w:r>
        <w:separator/>
      </w:r>
    </w:p>
  </w:endnote>
  <w:endnote w:type="continuationSeparator" w:id="0">
    <w:p w14:paraId="63DDBFAF" w14:textId="77777777" w:rsidR="007245A0" w:rsidRDefault="007245A0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71352" w14:textId="77777777" w:rsidR="007245A0" w:rsidRDefault="007245A0" w:rsidP="009B41D2">
      <w:r>
        <w:separator/>
      </w:r>
    </w:p>
  </w:footnote>
  <w:footnote w:type="continuationSeparator" w:id="0">
    <w:p w14:paraId="0DF9859F" w14:textId="77777777" w:rsidR="007245A0" w:rsidRDefault="007245A0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07065"/>
    <w:rsid w:val="0002096E"/>
    <w:rsid w:val="000236A9"/>
    <w:rsid w:val="000322A9"/>
    <w:rsid w:val="00040FDE"/>
    <w:rsid w:val="00044F31"/>
    <w:rsid w:val="00045C18"/>
    <w:rsid w:val="000469FC"/>
    <w:rsid w:val="00047C42"/>
    <w:rsid w:val="0005530C"/>
    <w:rsid w:val="00055784"/>
    <w:rsid w:val="00056DA8"/>
    <w:rsid w:val="000664F6"/>
    <w:rsid w:val="00072440"/>
    <w:rsid w:val="00082210"/>
    <w:rsid w:val="00087135"/>
    <w:rsid w:val="00087400"/>
    <w:rsid w:val="00090314"/>
    <w:rsid w:val="00093CCC"/>
    <w:rsid w:val="00094089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770AB"/>
    <w:rsid w:val="00284205"/>
    <w:rsid w:val="00285333"/>
    <w:rsid w:val="002958E8"/>
    <w:rsid w:val="002A3703"/>
    <w:rsid w:val="002B1F73"/>
    <w:rsid w:val="002F0044"/>
    <w:rsid w:val="002F1890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37CD8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122"/>
    <w:rsid w:val="00495C22"/>
    <w:rsid w:val="004A192F"/>
    <w:rsid w:val="004A23B2"/>
    <w:rsid w:val="004B5D65"/>
    <w:rsid w:val="004E5EEC"/>
    <w:rsid w:val="004E5FEE"/>
    <w:rsid w:val="004F0E28"/>
    <w:rsid w:val="0050160B"/>
    <w:rsid w:val="00501D72"/>
    <w:rsid w:val="00502F34"/>
    <w:rsid w:val="00507CBE"/>
    <w:rsid w:val="005105D9"/>
    <w:rsid w:val="00513332"/>
    <w:rsid w:val="005167B5"/>
    <w:rsid w:val="00527E87"/>
    <w:rsid w:val="00530F25"/>
    <w:rsid w:val="00534D84"/>
    <w:rsid w:val="00540B47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A6810"/>
    <w:rsid w:val="005B3BF2"/>
    <w:rsid w:val="005B4FF0"/>
    <w:rsid w:val="005B786C"/>
    <w:rsid w:val="005C16FD"/>
    <w:rsid w:val="005C178E"/>
    <w:rsid w:val="005C7682"/>
    <w:rsid w:val="005D48F2"/>
    <w:rsid w:val="005D582A"/>
    <w:rsid w:val="005D5F22"/>
    <w:rsid w:val="005E34C7"/>
    <w:rsid w:val="006068CA"/>
    <w:rsid w:val="00606B02"/>
    <w:rsid w:val="00622F04"/>
    <w:rsid w:val="00631034"/>
    <w:rsid w:val="006428D9"/>
    <w:rsid w:val="0066473E"/>
    <w:rsid w:val="006712D7"/>
    <w:rsid w:val="0067769D"/>
    <w:rsid w:val="00683D89"/>
    <w:rsid w:val="00684BC1"/>
    <w:rsid w:val="00684F46"/>
    <w:rsid w:val="00687141"/>
    <w:rsid w:val="006877D8"/>
    <w:rsid w:val="00687990"/>
    <w:rsid w:val="006931C5"/>
    <w:rsid w:val="00693AC3"/>
    <w:rsid w:val="006A7C26"/>
    <w:rsid w:val="006B3E43"/>
    <w:rsid w:val="006C2391"/>
    <w:rsid w:val="006C716A"/>
    <w:rsid w:val="006E150C"/>
    <w:rsid w:val="006F5763"/>
    <w:rsid w:val="00700520"/>
    <w:rsid w:val="0072157E"/>
    <w:rsid w:val="007245A0"/>
    <w:rsid w:val="00730FD7"/>
    <w:rsid w:val="007332EE"/>
    <w:rsid w:val="0073711B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31A01"/>
    <w:rsid w:val="00843BED"/>
    <w:rsid w:val="00845083"/>
    <w:rsid w:val="008511D2"/>
    <w:rsid w:val="00856130"/>
    <w:rsid w:val="008740F7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87FDF"/>
    <w:rsid w:val="009915DD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31248"/>
    <w:rsid w:val="00A36DA0"/>
    <w:rsid w:val="00A404E7"/>
    <w:rsid w:val="00A510B1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101B"/>
    <w:rsid w:val="00AB2D73"/>
    <w:rsid w:val="00AC05FD"/>
    <w:rsid w:val="00AD36FF"/>
    <w:rsid w:val="00AF1A7E"/>
    <w:rsid w:val="00AF718B"/>
    <w:rsid w:val="00B071DE"/>
    <w:rsid w:val="00B12374"/>
    <w:rsid w:val="00B153AB"/>
    <w:rsid w:val="00B17307"/>
    <w:rsid w:val="00B36E46"/>
    <w:rsid w:val="00B40B72"/>
    <w:rsid w:val="00B4662E"/>
    <w:rsid w:val="00B56B36"/>
    <w:rsid w:val="00B62442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05BD"/>
    <w:rsid w:val="00CD1C8C"/>
    <w:rsid w:val="00CD3985"/>
    <w:rsid w:val="00CE1A6C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F5C88"/>
    <w:rsid w:val="00DF6109"/>
    <w:rsid w:val="00DF74B7"/>
    <w:rsid w:val="00E00D41"/>
    <w:rsid w:val="00E128D3"/>
    <w:rsid w:val="00E224F2"/>
    <w:rsid w:val="00E225F5"/>
    <w:rsid w:val="00E30C6B"/>
    <w:rsid w:val="00E32E6C"/>
    <w:rsid w:val="00E5001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B5863"/>
    <w:rsid w:val="00EB69A3"/>
    <w:rsid w:val="00EC057C"/>
    <w:rsid w:val="00ED418E"/>
    <w:rsid w:val="00ED7398"/>
    <w:rsid w:val="00ED79C7"/>
    <w:rsid w:val="00EE3BDD"/>
    <w:rsid w:val="00EE58E3"/>
    <w:rsid w:val="00EF6505"/>
    <w:rsid w:val="00F12245"/>
    <w:rsid w:val="00F22120"/>
    <w:rsid w:val="00F22AB4"/>
    <w:rsid w:val="00F37C3E"/>
    <w:rsid w:val="00F41811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69EC"/>
    <w:rsid w:val="00FD03FD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9C7CCC"/>
    <w:rPr>
      <w:b/>
      <w:bCs/>
    </w:rPr>
  </w:style>
  <w:style w:type="paragraph" w:styleId="Pataisymai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2" ma:contentTypeDescription="Create a new document." ma:contentTypeScope="" ma:versionID="0d1ed0ba7907e8f29284b841605a0491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2c79ee4f3fcdc45ca359b587b4815a03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F33224-C4D9-49F2-AB10-66096D4C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DEC3BF-23AC-4C18-B489-F9C83EFB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2087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Lina Papinigytė</cp:lastModifiedBy>
  <cp:revision>16</cp:revision>
  <cp:lastPrinted>2020-02-03T13:26:00Z</cp:lastPrinted>
  <dcterms:created xsi:type="dcterms:W3CDTF">2020-09-14T05:20:00Z</dcterms:created>
  <dcterms:modified xsi:type="dcterms:W3CDTF">2020-09-14T11:04:00Z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