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980D8" w14:textId="77777777" w:rsidR="002958E8" w:rsidRPr="00C773B2" w:rsidRDefault="002958E8" w:rsidP="002958E8">
      <w:pPr>
        <w:ind w:firstLine="567"/>
        <w:jc w:val="both"/>
        <w:rPr>
          <w:b/>
          <w:sz w:val="22"/>
          <w:szCs w:val="22"/>
        </w:rPr>
      </w:pPr>
    </w:p>
    <w:p w14:paraId="06C0B9BC" w14:textId="77777777" w:rsidR="00CD3985" w:rsidRPr="00C773B2" w:rsidRDefault="00412A9B" w:rsidP="002958E8">
      <w:pPr>
        <w:ind w:firstLine="567"/>
        <w:jc w:val="both"/>
        <w:rPr>
          <w:b/>
          <w:sz w:val="28"/>
          <w:szCs w:val="28"/>
        </w:rPr>
      </w:pPr>
      <w:r w:rsidRPr="00C773B2">
        <w:rPr>
          <w:b/>
          <w:sz w:val="28"/>
          <w:szCs w:val="28"/>
        </w:rPr>
        <w:t>Neries krantinių projekto įgyvendinim</w:t>
      </w:r>
      <w:r w:rsidR="00D729F7" w:rsidRPr="00C773B2">
        <w:rPr>
          <w:b/>
          <w:sz w:val="28"/>
          <w:szCs w:val="28"/>
        </w:rPr>
        <w:t>o planas</w:t>
      </w:r>
    </w:p>
    <w:p w14:paraId="2AA21DEA" w14:textId="77777777" w:rsidR="00412A9B" w:rsidRPr="00C773B2" w:rsidRDefault="00412A9B" w:rsidP="002958E8">
      <w:pPr>
        <w:ind w:firstLine="567"/>
        <w:jc w:val="both"/>
      </w:pPr>
      <w:r w:rsidRPr="00C773B2">
        <w:t>Dviejų</w:t>
      </w:r>
      <w:r w:rsidR="003B7A5C" w:rsidRPr="00C773B2">
        <w:t xml:space="preserve"> ES</w:t>
      </w:r>
      <w:r w:rsidRPr="00C773B2">
        <w:t xml:space="preserve"> </w:t>
      </w:r>
      <w:r w:rsidR="003B7A5C" w:rsidRPr="00C773B2">
        <w:t xml:space="preserve">finansavimo </w:t>
      </w:r>
      <w:r w:rsidRPr="00C773B2">
        <w:t>paraiškų įgyvendinimo galutinis terminas 2020-02-29.</w:t>
      </w:r>
    </w:p>
    <w:p w14:paraId="286271D3" w14:textId="77777777" w:rsidR="008E674E" w:rsidRPr="00C773B2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5C8B7034" w:rsidR="008E674E" w:rsidRPr="00C773B2" w:rsidRDefault="00C74E0F" w:rsidP="002958E8">
      <w:pPr>
        <w:ind w:firstLine="567"/>
        <w:jc w:val="both"/>
        <w:rPr>
          <w:b/>
          <w:sz w:val="22"/>
          <w:szCs w:val="22"/>
        </w:rPr>
      </w:pPr>
      <w:r w:rsidRPr="00C773B2">
        <w:rPr>
          <w:b/>
          <w:sz w:val="22"/>
          <w:szCs w:val="22"/>
        </w:rPr>
        <w:t>201</w:t>
      </w:r>
      <w:r w:rsidR="00530F25">
        <w:rPr>
          <w:b/>
          <w:sz w:val="22"/>
          <w:szCs w:val="22"/>
        </w:rPr>
        <w:t>9-1</w:t>
      </w:r>
      <w:r w:rsidR="00BD2E09">
        <w:rPr>
          <w:b/>
          <w:sz w:val="22"/>
          <w:szCs w:val="22"/>
        </w:rPr>
        <w:t>1-04</w:t>
      </w:r>
      <w:bookmarkStart w:id="0" w:name="_GoBack"/>
      <w:bookmarkEnd w:id="0"/>
      <w:r w:rsidR="0043280A" w:rsidRPr="00C773B2">
        <w:rPr>
          <w:b/>
          <w:sz w:val="22"/>
          <w:szCs w:val="22"/>
        </w:rPr>
        <w:t xml:space="preserve"> projekto 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C773B2" w:rsidRPr="00C773B2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Eil. nr.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Numatoma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pirkimo procedūrų pradžia ir pabaiga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Pastabos</w:t>
            </w:r>
          </w:p>
        </w:tc>
      </w:tr>
      <w:tr w:rsidR="00C773B2" w:rsidRPr="00C773B2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C773B2" w:rsidRDefault="000B60DF" w:rsidP="0043280A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b/>
                <w:sz w:val="20"/>
                <w:szCs w:val="20"/>
              </w:rPr>
              <w:t>Dešinės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C773B2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5 888 108,25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2018-05-02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C773B2" w:rsidRDefault="000B60DF" w:rsidP="0043280A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2018-07-02</w:t>
            </w:r>
          </w:p>
          <w:p w14:paraId="7E6F6D36" w14:textId="77777777" w:rsidR="000B60DF" w:rsidRPr="00C773B2" w:rsidRDefault="000B60DF" w:rsidP="008B2446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C773B2" w:rsidRDefault="000B60DF" w:rsidP="008B24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6CFAEBF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Darbų trukmė </w:t>
            </w:r>
          </w:p>
          <w:p w14:paraId="713BF2B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16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6479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32AA318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4 866 000,11</w:t>
            </w:r>
          </w:p>
          <w:p w14:paraId="463ACB0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B437" w14:textId="19AD9B71" w:rsidR="004925EA" w:rsidRPr="004925EA" w:rsidRDefault="004925EA" w:rsidP="003B7A5C">
            <w:pPr>
              <w:rPr>
                <w:sz w:val="20"/>
                <w:szCs w:val="20"/>
              </w:rPr>
            </w:pP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 xml:space="preserve">UAB Litcon subrangovas UAB Skominta 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 xml:space="preserve">iki 2019-11-06 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 xml:space="preserve">pristatys 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 xml:space="preserve">planuojamų vykdyti darbų grafiką. Planuojama, kad 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>dalis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 xml:space="preserve"> darb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>ų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 xml:space="preserve"> šiemet 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 xml:space="preserve">bus atlikta prie 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>Baltojo tilto bei Olimpiečių gatvėje. Šį antradienį pradės bet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>o</w:t>
            </w:r>
            <w:r w:rsidRPr="004925EA">
              <w:rPr>
                <w:color w:val="000000"/>
                <w:sz w:val="20"/>
                <w:szCs w:val="20"/>
                <w:shd w:val="clear" w:color="auto" w:fill="FFFFFF"/>
              </w:rPr>
              <w:t>nuoti laiptų polius, krantinių atramines sienutes. Krepšinio aikštelėse pradėti pilti pagrindai, sijojamas gruntas, smulkinamas ir bus išvežamas statybinis laužas esantis aikštelėje</w:t>
            </w:r>
          </w:p>
        </w:tc>
      </w:tr>
      <w:tr w:rsidR="00C773B2" w:rsidRPr="00C773B2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C773B2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pusės Pėsčiųjų ir dviračių takų nuo </w:t>
            </w:r>
            <w:r w:rsidRPr="00C773B2">
              <w:rPr>
                <w:b/>
                <w:sz w:val="20"/>
                <w:szCs w:val="20"/>
              </w:rPr>
              <w:t>Baltojo tilto iki Žaliojo tilto</w:t>
            </w:r>
            <w:r w:rsidRPr="00C773B2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II TP VP15.79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241 186,56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3E093153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283132E1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02799D4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238 647,83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DAA5" w14:textId="42A0E3E0" w:rsidR="00B924E4" w:rsidRPr="00530F25" w:rsidRDefault="00E224F2" w:rsidP="00B924E4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Sutartis įvykdyta išskyrus naujų atramų įrengimą pagal </w:t>
            </w:r>
            <w:r w:rsidR="00B924E4" w:rsidRPr="00530F25">
              <w:rPr>
                <w:sz w:val="20"/>
                <w:szCs w:val="20"/>
              </w:rPr>
              <w:t xml:space="preserve">Neries visos krantinės </w:t>
            </w:r>
            <w:r w:rsidR="00B924E4" w:rsidRPr="00530F25">
              <w:rPr>
                <w:bCs/>
                <w:sz w:val="20"/>
                <w:szCs w:val="20"/>
              </w:rPr>
              <w:t>apšvietimo įrengimo</w:t>
            </w:r>
            <w:r w:rsidR="00B924E4" w:rsidRPr="00530F25">
              <w:rPr>
                <w:sz w:val="20"/>
                <w:szCs w:val="20"/>
              </w:rPr>
              <w:t xml:space="preserve"> su darbo projekto parengimu sutartį.</w:t>
            </w:r>
          </w:p>
          <w:p w14:paraId="53A70A93" w14:textId="6A110C1D" w:rsidR="000B60DF" w:rsidRPr="00530F25" w:rsidRDefault="000B60DF" w:rsidP="001348AF">
            <w:pPr>
              <w:rPr>
                <w:sz w:val="20"/>
                <w:szCs w:val="20"/>
              </w:rPr>
            </w:pPr>
          </w:p>
        </w:tc>
      </w:tr>
      <w:tr w:rsidR="00C773B2" w:rsidRPr="00C773B2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C773B2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C773B2">
              <w:rPr>
                <w:b/>
                <w:sz w:val="20"/>
                <w:szCs w:val="20"/>
              </w:rPr>
              <w:t>Baltojo tilto ir Baravyko</w:t>
            </w:r>
            <w:r w:rsidRPr="00C773B2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C773B2" w:rsidRDefault="000B60DF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 III TP VP13.113 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C773B2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540 520,46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2018-06-03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(8 mėn.)</w:t>
            </w:r>
          </w:p>
          <w:p w14:paraId="18FC4FDB" w14:textId="77777777" w:rsidR="000B60DF" w:rsidRPr="00C773B2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2018-09-18</w:t>
            </w:r>
          </w:p>
          <w:p w14:paraId="46E53C98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Darbų trukmė</w:t>
            </w:r>
          </w:p>
          <w:p w14:paraId="63526D95" w14:textId="77777777" w:rsidR="000B60DF" w:rsidRPr="00C773B2" w:rsidRDefault="000B60DF" w:rsidP="00606B02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77777777" w:rsidR="000B60DF" w:rsidRPr="00C773B2" w:rsidRDefault="000B60DF" w:rsidP="00351034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457 176,88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E2BB" w14:textId="77777777" w:rsidR="00B924E4" w:rsidRPr="00530F25" w:rsidRDefault="00B924E4" w:rsidP="00B924E4">
            <w:pPr>
              <w:spacing w:line="276" w:lineRule="auto"/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Sutartis įvykdyta išskyrus naujų atramų įrengimą pagal </w:t>
            </w:r>
            <w:r w:rsidRPr="00530F25">
              <w:rPr>
                <w:sz w:val="20"/>
                <w:szCs w:val="20"/>
              </w:rPr>
              <w:t xml:space="preserve">Neries visos krantinės </w:t>
            </w:r>
            <w:r w:rsidRPr="00530F25">
              <w:rPr>
                <w:bCs/>
                <w:sz w:val="20"/>
                <w:szCs w:val="20"/>
              </w:rPr>
              <w:t>apšvietimo įrengimo</w:t>
            </w:r>
            <w:r w:rsidRPr="00530F25">
              <w:rPr>
                <w:sz w:val="20"/>
                <w:szCs w:val="20"/>
              </w:rPr>
              <w:t xml:space="preserve"> su darbo projekto parengimu sutartį.</w:t>
            </w:r>
          </w:p>
          <w:p w14:paraId="5A704650" w14:textId="53F6A711" w:rsidR="000B60DF" w:rsidRPr="00530F25" w:rsidRDefault="00130A4B" w:rsidP="000A67E3">
            <w:pPr>
              <w:rPr>
                <w:sz w:val="20"/>
                <w:szCs w:val="20"/>
              </w:rPr>
            </w:pPr>
            <w:r w:rsidRPr="00530F2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773B2" w:rsidRPr="00C773B2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C773B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1" w:name="_Hlk12364873"/>
            <w:r w:rsidRPr="00C773B2">
              <w:rPr>
                <w:b/>
                <w:sz w:val="20"/>
                <w:szCs w:val="20"/>
              </w:rPr>
              <w:t>Kairės</w:t>
            </w:r>
            <w:r w:rsidRPr="00C773B2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KAIRĖ (II etapas)</w:t>
            </w:r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3FA8BCA4" w:rsidR="000B60DF" w:rsidRPr="00544091" w:rsidRDefault="00544091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544091">
              <w:rPr>
                <w:color w:val="333333"/>
                <w:sz w:val="20"/>
                <w:szCs w:val="20"/>
              </w:rPr>
              <w:t>8 265 546,26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55FC9930" w:rsidR="000B60DF" w:rsidRPr="00C773B2" w:rsidRDefault="00544091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2019-10-24</w:t>
            </w:r>
          </w:p>
          <w:p w14:paraId="06B590AD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Paskelbtas pirkimas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671B9231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</w:t>
            </w:r>
            <w:r w:rsidR="00544091">
              <w:rPr>
                <w:sz w:val="20"/>
                <w:szCs w:val="20"/>
              </w:rPr>
              <w:t>20-</w:t>
            </w:r>
          </w:p>
          <w:p w14:paraId="7207A59C" w14:textId="10AC0FE4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</w:t>
            </w:r>
            <w:r w:rsidR="00544091">
              <w:rPr>
                <w:sz w:val="20"/>
                <w:szCs w:val="20"/>
              </w:rPr>
              <w:t>24</w:t>
            </w:r>
            <w:r w:rsidRPr="00C773B2">
              <w:rPr>
                <w:sz w:val="20"/>
                <w:szCs w:val="20"/>
              </w:rPr>
              <w:t xml:space="preserve">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8C1889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77777777" w:rsidR="000B60DF" w:rsidRPr="00C773B2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79C4" w14:textId="58074651" w:rsidR="00363B84" w:rsidRPr="00530F25" w:rsidRDefault="00040FDE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4677AC" w:rsidRPr="00530F25">
              <w:rPr>
                <w:sz w:val="20"/>
                <w:szCs w:val="20"/>
              </w:rPr>
              <w:t>asiūlymų pateikimo terminas 2019-11-26.</w:t>
            </w:r>
          </w:p>
        </w:tc>
      </w:tr>
      <w:tr w:rsidR="00C773B2" w:rsidRPr="00C773B2" w14:paraId="1A130535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C773B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bookmarkStart w:id="2" w:name="_Hlk12364962"/>
            <w:r w:rsidRPr="00C773B2">
              <w:rPr>
                <w:sz w:val="20"/>
                <w:szCs w:val="20"/>
              </w:rPr>
              <w:t xml:space="preserve">Neries visos krantinės </w:t>
            </w:r>
            <w:r w:rsidRPr="00C773B2">
              <w:rPr>
                <w:b/>
                <w:sz w:val="20"/>
                <w:szCs w:val="20"/>
              </w:rPr>
              <w:t>apšvietimo</w:t>
            </w:r>
            <w:r w:rsidRPr="00C773B2">
              <w:rPr>
                <w:sz w:val="20"/>
                <w:szCs w:val="20"/>
              </w:rPr>
              <w:t xml:space="preserve"> </w:t>
            </w:r>
            <w:r w:rsidRPr="00C773B2">
              <w:rPr>
                <w:b/>
                <w:sz w:val="20"/>
                <w:szCs w:val="20"/>
              </w:rPr>
              <w:t>įrengimas</w:t>
            </w:r>
            <w:r w:rsidRPr="00C773B2">
              <w:rPr>
                <w:sz w:val="20"/>
                <w:szCs w:val="20"/>
              </w:rPr>
              <w:t xml:space="preserve"> su darbo projekto parengimu</w:t>
            </w:r>
          </w:p>
          <w:bookmarkEnd w:id="2"/>
          <w:p w14:paraId="5A939C9E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C773B2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C773B2">
              <w:rPr>
                <w:sz w:val="20"/>
                <w:szCs w:val="20"/>
              </w:rPr>
              <w:t>902 950,90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613B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2018-10 mėn.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</w:t>
            </w:r>
          </w:p>
          <w:p w14:paraId="67B4923C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(12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F3FF" w14:textId="1B984E37" w:rsidR="000B60DF" w:rsidRPr="00C773B2" w:rsidRDefault="00363B84" w:rsidP="00007065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2019-06-21 Darbų trukmė 13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2CDFEEA3" w:rsidR="000B60DF" w:rsidRPr="00C773B2" w:rsidRDefault="00363B84" w:rsidP="00363B84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740 166,72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F5F6" w14:textId="77777777" w:rsidR="000F1E72" w:rsidRPr="00530F25" w:rsidRDefault="000F1E72" w:rsidP="000F1E72">
            <w:pPr>
              <w:rPr>
                <w:sz w:val="20"/>
                <w:szCs w:val="20"/>
              </w:rPr>
            </w:pPr>
            <w:r w:rsidRPr="00530F25">
              <w:rPr>
                <w:sz w:val="20"/>
                <w:szCs w:val="20"/>
              </w:rPr>
              <w:t xml:space="preserve">Šviestuvai Upės g jau sumontuoti. </w:t>
            </w:r>
          </w:p>
          <w:p w14:paraId="4E90AA7E" w14:textId="77777777" w:rsidR="000F1E72" w:rsidRPr="00530F25" w:rsidRDefault="000F1E72" w:rsidP="000F1E72">
            <w:pPr>
              <w:rPr>
                <w:sz w:val="20"/>
                <w:szCs w:val="20"/>
              </w:rPr>
            </w:pPr>
            <w:r w:rsidRPr="00530F25">
              <w:rPr>
                <w:sz w:val="20"/>
                <w:szCs w:val="20"/>
              </w:rPr>
              <w:t>Derinami veiksmai su Vilniaus apšvietimu dėl perjungimo. Tik perjungus bus pradėtos demontuoti senos atramos.</w:t>
            </w:r>
          </w:p>
          <w:p w14:paraId="461D372D" w14:textId="1EE99298" w:rsidR="000A6D15" w:rsidRPr="00530F25" w:rsidRDefault="000F1E72" w:rsidP="000F1E72">
            <w:pPr>
              <w:rPr>
                <w:sz w:val="20"/>
                <w:szCs w:val="20"/>
              </w:rPr>
            </w:pPr>
            <w:r w:rsidRPr="00530F25">
              <w:rPr>
                <w:sz w:val="20"/>
                <w:szCs w:val="20"/>
              </w:rPr>
              <w:t>Rangovui surašyti defektai. Kai ištaisys, pakartotinai bus tikrinama ir tada leista perjungti. Defektus taiso. Pakartotinai neprisidavė.</w:t>
            </w:r>
          </w:p>
          <w:p w14:paraId="69DA94FC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  <w:p w14:paraId="01926702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  <w:p w14:paraId="68867AEF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  <w:p w14:paraId="0A272069" w14:textId="77777777" w:rsidR="000A6D15" w:rsidRPr="00530F25" w:rsidRDefault="000A6D15" w:rsidP="000B60DF">
            <w:pPr>
              <w:rPr>
                <w:sz w:val="20"/>
                <w:szCs w:val="20"/>
              </w:rPr>
            </w:pPr>
          </w:p>
        </w:tc>
      </w:tr>
      <w:tr w:rsidR="00C773B2" w:rsidRPr="00C773B2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C773B2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Dešinės Neries krantinės pusės </w:t>
            </w:r>
            <w:r w:rsidRPr="00C773B2">
              <w:rPr>
                <w:b/>
                <w:sz w:val="20"/>
                <w:szCs w:val="20"/>
              </w:rPr>
              <w:t xml:space="preserve">riedučių parko </w:t>
            </w:r>
            <w:r w:rsidRPr="00C773B2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C773B2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I TP VP16.40 DEŠINĖ 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C773B2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C773B2">
              <w:rPr>
                <w:bCs/>
                <w:sz w:val="20"/>
                <w:szCs w:val="20"/>
              </w:rPr>
              <w:t>630 000,00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 xml:space="preserve">2018-09-20 Paskelbtas pirkimas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2018-11</w:t>
            </w:r>
          </w:p>
          <w:p w14:paraId="5E0BF985" w14:textId="77777777" w:rsidR="000B60DF" w:rsidRPr="00C773B2" w:rsidRDefault="000B60DF" w:rsidP="000B60DF">
            <w:pPr>
              <w:jc w:val="center"/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(6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573C" w14:textId="0AF48FF9" w:rsidR="000B60DF" w:rsidRPr="00C773B2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2018-12-21 (10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6F268373" w:rsidR="000B60DF" w:rsidRPr="00C773B2" w:rsidRDefault="00993710" w:rsidP="000B60DF">
            <w:pPr>
              <w:rPr>
                <w:sz w:val="20"/>
                <w:szCs w:val="20"/>
              </w:rPr>
            </w:pPr>
            <w:r w:rsidRPr="00C773B2">
              <w:rPr>
                <w:sz w:val="20"/>
                <w:szCs w:val="20"/>
              </w:rPr>
              <w:t>597014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0B3B" w14:textId="5737F582" w:rsidR="002525BB" w:rsidRPr="00530F25" w:rsidRDefault="004677AC" w:rsidP="000B60DF">
            <w:pPr>
              <w:rPr>
                <w:sz w:val="20"/>
                <w:szCs w:val="20"/>
              </w:rPr>
            </w:pPr>
            <w:r w:rsidRPr="00530F25">
              <w:rPr>
                <w:sz w:val="20"/>
                <w:szCs w:val="20"/>
              </w:rPr>
              <w:t>Darbai pradėti 2019-08-01. Darbus planuojama baigti iki 2019-</w:t>
            </w:r>
            <w:r w:rsidR="00530F25" w:rsidRPr="00530F25">
              <w:rPr>
                <w:sz w:val="20"/>
                <w:szCs w:val="20"/>
              </w:rPr>
              <w:t>11-30</w:t>
            </w:r>
            <w:r w:rsidRPr="00530F25">
              <w:rPr>
                <w:sz w:val="20"/>
                <w:szCs w:val="20"/>
              </w:rPr>
              <w:t>.</w:t>
            </w:r>
          </w:p>
        </w:tc>
      </w:tr>
    </w:tbl>
    <w:p w14:paraId="69056888" w14:textId="77777777" w:rsidR="008E674E" w:rsidRPr="00C773B2" w:rsidRDefault="008E674E">
      <w:pPr>
        <w:rPr>
          <w:sz w:val="22"/>
          <w:szCs w:val="22"/>
        </w:rPr>
      </w:pPr>
    </w:p>
    <w:sectPr w:rsidR="008E674E" w:rsidRPr="00C773B2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C200D" w14:textId="77777777" w:rsidR="00752932" w:rsidRDefault="00752932" w:rsidP="009B41D2">
      <w:r>
        <w:separator/>
      </w:r>
    </w:p>
  </w:endnote>
  <w:endnote w:type="continuationSeparator" w:id="0">
    <w:p w14:paraId="10B50AC9" w14:textId="77777777" w:rsidR="00752932" w:rsidRDefault="00752932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2E7F3" w14:textId="77777777" w:rsidR="00752932" w:rsidRDefault="00752932" w:rsidP="009B41D2">
      <w:r>
        <w:separator/>
      </w:r>
    </w:p>
  </w:footnote>
  <w:footnote w:type="continuationSeparator" w:id="0">
    <w:p w14:paraId="33269C88" w14:textId="77777777" w:rsidR="00752932" w:rsidRDefault="00752932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5BF5"/>
    <w:rsid w:val="00007065"/>
    <w:rsid w:val="0002096E"/>
    <w:rsid w:val="000322A9"/>
    <w:rsid w:val="00040FDE"/>
    <w:rsid w:val="00045C18"/>
    <w:rsid w:val="000469FC"/>
    <w:rsid w:val="00047C42"/>
    <w:rsid w:val="0005530C"/>
    <w:rsid w:val="00055784"/>
    <w:rsid w:val="00056DA8"/>
    <w:rsid w:val="000664F6"/>
    <w:rsid w:val="00072440"/>
    <w:rsid w:val="00087135"/>
    <w:rsid w:val="00090314"/>
    <w:rsid w:val="000979BF"/>
    <w:rsid w:val="000A67E3"/>
    <w:rsid w:val="000A6D15"/>
    <w:rsid w:val="000B60DF"/>
    <w:rsid w:val="000B76E8"/>
    <w:rsid w:val="000B7A44"/>
    <w:rsid w:val="000E5F82"/>
    <w:rsid w:val="000F1E72"/>
    <w:rsid w:val="00110552"/>
    <w:rsid w:val="00116A24"/>
    <w:rsid w:val="00130A4B"/>
    <w:rsid w:val="001348AF"/>
    <w:rsid w:val="00140072"/>
    <w:rsid w:val="0016236C"/>
    <w:rsid w:val="00167B63"/>
    <w:rsid w:val="00192505"/>
    <w:rsid w:val="00196171"/>
    <w:rsid w:val="001A49A1"/>
    <w:rsid w:val="001B3A75"/>
    <w:rsid w:val="001C0FDF"/>
    <w:rsid w:val="001D4F49"/>
    <w:rsid w:val="001E16E0"/>
    <w:rsid w:val="001E20F5"/>
    <w:rsid w:val="001E23DF"/>
    <w:rsid w:val="001E2CA3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29F2"/>
    <w:rsid w:val="00233732"/>
    <w:rsid w:val="00235A1B"/>
    <w:rsid w:val="0025140B"/>
    <w:rsid w:val="002525BB"/>
    <w:rsid w:val="0026381C"/>
    <w:rsid w:val="002768B2"/>
    <w:rsid w:val="00284205"/>
    <w:rsid w:val="002958E8"/>
    <w:rsid w:val="002A3703"/>
    <w:rsid w:val="002B1F73"/>
    <w:rsid w:val="002F1890"/>
    <w:rsid w:val="002F3B6C"/>
    <w:rsid w:val="002F3F9B"/>
    <w:rsid w:val="00301ABE"/>
    <w:rsid w:val="003034BD"/>
    <w:rsid w:val="00315CEF"/>
    <w:rsid w:val="00324272"/>
    <w:rsid w:val="0032689D"/>
    <w:rsid w:val="00334F90"/>
    <w:rsid w:val="0033640A"/>
    <w:rsid w:val="00337274"/>
    <w:rsid w:val="00351034"/>
    <w:rsid w:val="00354080"/>
    <w:rsid w:val="003600F3"/>
    <w:rsid w:val="00363B84"/>
    <w:rsid w:val="00367259"/>
    <w:rsid w:val="003757AD"/>
    <w:rsid w:val="00376851"/>
    <w:rsid w:val="003828F4"/>
    <w:rsid w:val="003907C6"/>
    <w:rsid w:val="0039188D"/>
    <w:rsid w:val="00396C33"/>
    <w:rsid w:val="003A0B13"/>
    <w:rsid w:val="003B7A5C"/>
    <w:rsid w:val="003C2D64"/>
    <w:rsid w:val="003D13CD"/>
    <w:rsid w:val="003E1268"/>
    <w:rsid w:val="00401C38"/>
    <w:rsid w:val="00412A9B"/>
    <w:rsid w:val="0043280A"/>
    <w:rsid w:val="00432E0E"/>
    <w:rsid w:val="00434D9A"/>
    <w:rsid w:val="0044080C"/>
    <w:rsid w:val="00445B5D"/>
    <w:rsid w:val="004576E0"/>
    <w:rsid w:val="0046060F"/>
    <w:rsid w:val="0046620A"/>
    <w:rsid w:val="004677AC"/>
    <w:rsid w:val="00473441"/>
    <w:rsid w:val="0048127F"/>
    <w:rsid w:val="004838DB"/>
    <w:rsid w:val="0048460A"/>
    <w:rsid w:val="004925EA"/>
    <w:rsid w:val="00495C22"/>
    <w:rsid w:val="004A192F"/>
    <w:rsid w:val="004B5D65"/>
    <w:rsid w:val="004E5EEC"/>
    <w:rsid w:val="004F0E28"/>
    <w:rsid w:val="0050160B"/>
    <w:rsid w:val="00501D72"/>
    <w:rsid w:val="00507CBE"/>
    <w:rsid w:val="005105D9"/>
    <w:rsid w:val="00513332"/>
    <w:rsid w:val="00527E87"/>
    <w:rsid w:val="00530F25"/>
    <w:rsid w:val="00534D84"/>
    <w:rsid w:val="00542BA9"/>
    <w:rsid w:val="00544091"/>
    <w:rsid w:val="00551950"/>
    <w:rsid w:val="005533A2"/>
    <w:rsid w:val="0056410D"/>
    <w:rsid w:val="0057437C"/>
    <w:rsid w:val="0057664B"/>
    <w:rsid w:val="005822C0"/>
    <w:rsid w:val="005A204F"/>
    <w:rsid w:val="005B3BF2"/>
    <w:rsid w:val="005B786C"/>
    <w:rsid w:val="005C16FD"/>
    <w:rsid w:val="005C178E"/>
    <w:rsid w:val="005D48F2"/>
    <w:rsid w:val="005D5F22"/>
    <w:rsid w:val="006068CA"/>
    <w:rsid w:val="00606B02"/>
    <w:rsid w:val="00622F04"/>
    <w:rsid w:val="00631034"/>
    <w:rsid w:val="006428D9"/>
    <w:rsid w:val="0066473E"/>
    <w:rsid w:val="006712D7"/>
    <w:rsid w:val="00684BC1"/>
    <w:rsid w:val="00684F46"/>
    <w:rsid w:val="00687141"/>
    <w:rsid w:val="006877D8"/>
    <w:rsid w:val="00687990"/>
    <w:rsid w:val="006931C5"/>
    <w:rsid w:val="00693AC3"/>
    <w:rsid w:val="006C2391"/>
    <w:rsid w:val="006C716A"/>
    <w:rsid w:val="006E150C"/>
    <w:rsid w:val="006F5763"/>
    <w:rsid w:val="00700520"/>
    <w:rsid w:val="0072157E"/>
    <w:rsid w:val="007332EE"/>
    <w:rsid w:val="0073711B"/>
    <w:rsid w:val="00752932"/>
    <w:rsid w:val="00756018"/>
    <w:rsid w:val="007724A2"/>
    <w:rsid w:val="00774BF1"/>
    <w:rsid w:val="00790CB4"/>
    <w:rsid w:val="0079127F"/>
    <w:rsid w:val="00792FEA"/>
    <w:rsid w:val="007A4B5B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16CE4"/>
    <w:rsid w:val="008209E7"/>
    <w:rsid w:val="00845083"/>
    <w:rsid w:val="008511D2"/>
    <w:rsid w:val="00856130"/>
    <w:rsid w:val="00886325"/>
    <w:rsid w:val="008A563E"/>
    <w:rsid w:val="008B2446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D5BC1"/>
    <w:rsid w:val="009D5CD5"/>
    <w:rsid w:val="009E5CFD"/>
    <w:rsid w:val="009E5EF2"/>
    <w:rsid w:val="00A02FCA"/>
    <w:rsid w:val="00A10D70"/>
    <w:rsid w:val="00A149F6"/>
    <w:rsid w:val="00A243CF"/>
    <w:rsid w:val="00A31248"/>
    <w:rsid w:val="00A36DA0"/>
    <w:rsid w:val="00A404E7"/>
    <w:rsid w:val="00A5611B"/>
    <w:rsid w:val="00A70FDA"/>
    <w:rsid w:val="00A726E2"/>
    <w:rsid w:val="00A732DE"/>
    <w:rsid w:val="00A736C5"/>
    <w:rsid w:val="00A81055"/>
    <w:rsid w:val="00AA6B71"/>
    <w:rsid w:val="00AB2D73"/>
    <w:rsid w:val="00AC05FD"/>
    <w:rsid w:val="00AD36FF"/>
    <w:rsid w:val="00AF718B"/>
    <w:rsid w:val="00B071DE"/>
    <w:rsid w:val="00B12374"/>
    <w:rsid w:val="00B153AB"/>
    <w:rsid w:val="00B17307"/>
    <w:rsid w:val="00B36E46"/>
    <w:rsid w:val="00B40B72"/>
    <w:rsid w:val="00B56B36"/>
    <w:rsid w:val="00B62442"/>
    <w:rsid w:val="00B8362A"/>
    <w:rsid w:val="00B86AAA"/>
    <w:rsid w:val="00B924E4"/>
    <w:rsid w:val="00B92EC8"/>
    <w:rsid w:val="00B9608D"/>
    <w:rsid w:val="00B978CF"/>
    <w:rsid w:val="00BC1017"/>
    <w:rsid w:val="00BC1CF7"/>
    <w:rsid w:val="00BC58D7"/>
    <w:rsid w:val="00BD2E09"/>
    <w:rsid w:val="00BD379B"/>
    <w:rsid w:val="00BD4889"/>
    <w:rsid w:val="00BD63EC"/>
    <w:rsid w:val="00BE6E33"/>
    <w:rsid w:val="00C0451D"/>
    <w:rsid w:val="00C160A6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773B2"/>
    <w:rsid w:val="00CA48DA"/>
    <w:rsid w:val="00CB3AF5"/>
    <w:rsid w:val="00CC39D8"/>
    <w:rsid w:val="00CD3985"/>
    <w:rsid w:val="00CE1A6C"/>
    <w:rsid w:val="00CE6B9E"/>
    <w:rsid w:val="00CF370C"/>
    <w:rsid w:val="00D13FBE"/>
    <w:rsid w:val="00D1631C"/>
    <w:rsid w:val="00D17E1B"/>
    <w:rsid w:val="00D24ACD"/>
    <w:rsid w:val="00D368C6"/>
    <w:rsid w:val="00D5021A"/>
    <w:rsid w:val="00D52BEF"/>
    <w:rsid w:val="00D65C74"/>
    <w:rsid w:val="00D66B6B"/>
    <w:rsid w:val="00D729F7"/>
    <w:rsid w:val="00D736DD"/>
    <w:rsid w:val="00D8302F"/>
    <w:rsid w:val="00D83879"/>
    <w:rsid w:val="00D86CB4"/>
    <w:rsid w:val="00D96A81"/>
    <w:rsid w:val="00DA5DC6"/>
    <w:rsid w:val="00DB0FCD"/>
    <w:rsid w:val="00DB4E31"/>
    <w:rsid w:val="00DF5C88"/>
    <w:rsid w:val="00DF6109"/>
    <w:rsid w:val="00DF74B7"/>
    <w:rsid w:val="00E00D41"/>
    <w:rsid w:val="00E128D3"/>
    <w:rsid w:val="00E224F2"/>
    <w:rsid w:val="00E30C6B"/>
    <w:rsid w:val="00E50010"/>
    <w:rsid w:val="00E62BA4"/>
    <w:rsid w:val="00E64549"/>
    <w:rsid w:val="00E75277"/>
    <w:rsid w:val="00E85E6F"/>
    <w:rsid w:val="00E9421D"/>
    <w:rsid w:val="00EA112A"/>
    <w:rsid w:val="00EA1694"/>
    <w:rsid w:val="00EA4400"/>
    <w:rsid w:val="00EB5863"/>
    <w:rsid w:val="00EC057C"/>
    <w:rsid w:val="00ED418E"/>
    <w:rsid w:val="00ED7398"/>
    <w:rsid w:val="00ED79C7"/>
    <w:rsid w:val="00EE3BDD"/>
    <w:rsid w:val="00EF6505"/>
    <w:rsid w:val="00F12245"/>
    <w:rsid w:val="00F22AB4"/>
    <w:rsid w:val="00F37C3E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B69EC"/>
    <w:rsid w:val="00FD1215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prastasis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34"/>
    <w:qFormat/>
    <w:rsid w:val="00473441"/>
    <w:pPr>
      <w:ind w:left="720"/>
      <w:contextualSpacing/>
    </w:pPr>
    <w:rPr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7244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7244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7244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BE6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8" ma:contentTypeDescription="Create a new document." ma:contentTypeScope="" ma:versionID="7879d968ceb8a371122dc435a9339485">
  <xsd:schema xmlns:xsd="http://www.w3.org/2001/XMLSchema" xmlns:xs="http://www.w3.org/2001/XMLSchema" xmlns:p="http://schemas.microsoft.com/office/2006/metadata/properties" xmlns:ns2="f9311caa-6971-4a95-a223-50f7f1c36565" targetNamespace="http://schemas.microsoft.com/office/2006/metadata/properties" ma:root="true" ma:fieldsID="b76134cd78ea52fdc8492c43f4e319bb" ns2:_="">
    <xsd:import namespace="f9311caa-6971-4a95-a223-50f7f1c365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F7E05-D322-4311-9E24-554C3374D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62D28B-2E7A-414E-9C63-B4C9DC48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Lina Papinigytė</cp:lastModifiedBy>
  <cp:revision>13</cp:revision>
  <cp:lastPrinted>2019-05-06T12:45:00Z</cp:lastPrinted>
  <dcterms:created xsi:type="dcterms:W3CDTF">2019-10-28T08:42:00Z</dcterms:created>
  <dcterms:modified xsi:type="dcterms:W3CDTF">2019-11-04T14:22:00Z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